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8029BF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8029BF" w:rsidP="008029B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31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D502D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540D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 wp14:anchorId="39427843" wp14:editId="460C8099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8029BF" w:rsidP="008B246F">
      <w:pPr>
        <w:jc w:val="both"/>
        <w:rPr>
          <w:b/>
        </w:rPr>
      </w:pPr>
      <w:r>
        <w:rPr>
          <w:b/>
        </w:rPr>
        <w:t>Aralık</w:t>
      </w:r>
      <w:r w:rsidR="00D07D01" w:rsidRPr="009C3D5A">
        <w:rPr>
          <w:b/>
        </w:rPr>
        <w:t xml:space="preserve"> 201</w:t>
      </w:r>
      <w:r w:rsidR="008974F5">
        <w:rPr>
          <w:b/>
        </w:rPr>
        <w:t>8</w:t>
      </w:r>
      <w:r w:rsidR="00D07D01" w:rsidRPr="009C3D5A">
        <w:rPr>
          <w:b/>
        </w:rPr>
        <w:t xml:space="preserve"> Dış ticaret istatistiklerine ilişkin veriler Türkiye İstati</w:t>
      </w:r>
      <w:r w:rsidR="00D502D2">
        <w:rPr>
          <w:b/>
        </w:rPr>
        <w:t xml:space="preserve">stik Kurumu (TÜİK) tarafından </w:t>
      </w:r>
      <w:r>
        <w:rPr>
          <w:b/>
        </w:rPr>
        <w:t>31 Ocak</w:t>
      </w:r>
      <w:r w:rsidR="00D07D01" w:rsidRPr="009C3D5A">
        <w:rPr>
          <w:b/>
        </w:rPr>
        <w:t xml:space="preserve"> 201</w:t>
      </w:r>
      <w:r w:rsidR="00540D42"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F92ED4" w:rsidP="008B246F">
      <w:pPr>
        <w:jc w:val="both"/>
      </w:pPr>
      <w:r>
        <w:t>2018 Aralık’ta</w:t>
      </w:r>
      <w:r w:rsidR="00764636" w:rsidRPr="009C3D5A">
        <w:t xml:space="preserve">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0,2</w:t>
      </w:r>
      <w:r w:rsidR="00B32BBF">
        <w:t xml:space="preserve"> </w:t>
      </w:r>
      <w:r>
        <w:t>artarak 13</w:t>
      </w:r>
      <w:r w:rsidR="00B32BBF">
        <w:t xml:space="preserve"> </w:t>
      </w:r>
      <w:r w:rsidR="00764636" w:rsidRPr="009C3D5A">
        <w:t>milyar</w:t>
      </w:r>
      <w:r w:rsidR="005C02CC">
        <w:t xml:space="preserve"> </w:t>
      </w:r>
      <w:r>
        <w:t>879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Aralık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28,3</w:t>
      </w:r>
      <w:r w:rsidR="005C02CC">
        <w:t xml:space="preserve"> </w:t>
      </w:r>
      <w:r>
        <w:t>azalarak 16</w:t>
      </w:r>
      <w:r w:rsidR="00DB20D7">
        <w:t xml:space="preserve"> milyar</w:t>
      </w:r>
      <w:r w:rsidR="00047A3E">
        <w:t xml:space="preserve"> </w:t>
      </w:r>
      <w:r w:rsidR="00D56E70">
        <w:t>5</w:t>
      </w:r>
      <w:r>
        <w:t>53</w:t>
      </w:r>
      <w:r w:rsidR="00D56E70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Aralık</w:t>
      </w:r>
      <w:r w:rsidR="00D502D2">
        <w:t xml:space="preserve"> </w:t>
      </w:r>
      <w:r w:rsidR="00DB20D7">
        <w:t>ayı dış ticaret açığı,</w:t>
      </w:r>
      <w:r w:rsidR="008B246F" w:rsidRPr="009C3D5A">
        <w:t xml:space="preserve"> yüzde </w:t>
      </w:r>
      <w:r>
        <w:t>71,1</w:t>
      </w:r>
      <w:r w:rsidR="00024E59" w:rsidRPr="009C3D5A">
        <w:t xml:space="preserve"> </w:t>
      </w:r>
      <w:r w:rsidR="00676E49">
        <w:t>a</w:t>
      </w:r>
      <w:r w:rsidR="00D502D2">
        <w:t xml:space="preserve">zalarak </w:t>
      </w:r>
      <w:r w:rsidR="00D56E70">
        <w:t>2</w:t>
      </w:r>
      <w:r w:rsidR="00024E59" w:rsidRPr="009C3D5A">
        <w:t xml:space="preserve"> milyar </w:t>
      </w:r>
      <w:r>
        <w:t>674</w:t>
      </w:r>
      <w:r w:rsidR="00DB20D7">
        <w:t xml:space="preserve"> milyon dolar</w:t>
      </w:r>
      <w:r w:rsidR="00676E49">
        <w:t xml:space="preserve">a </w:t>
      </w:r>
      <w:r w:rsidR="00D502D2">
        <w:t>geriledi</w:t>
      </w:r>
      <w:r w:rsidR="00676E49">
        <w:t xml:space="preserve">. </w:t>
      </w:r>
      <w:r>
        <w:t>2017</w:t>
      </w:r>
      <w:r w:rsidR="00EB5E5C">
        <w:t xml:space="preserve"> </w:t>
      </w:r>
      <w:r w:rsidR="00D56E70">
        <w:t>A</w:t>
      </w:r>
      <w:r>
        <w:t xml:space="preserve">ralık </w:t>
      </w:r>
      <w:r w:rsidR="00540D42">
        <w:t xml:space="preserve">ayında yüzde </w:t>
      </w:r>
      <w:r>
        <w:t>60</w:t>
      </w:r>
      <w:r w:rsidR="00CA6A1E">
        <w:t xml:space="preserve"> </w:t>
      </w:r>
      <w:r w:rsidR="0023568E">
        <w:t>olan ihracatın itha</w:t>
      </w:r>
      <w:r w:rsidR="00CA6A1E">
        <w:t>latı karşılama oranı ise 2018</w:t>
      </w:r>
      <w:r w:rsidR="00EB5E5C">
        <w:t xml:space="preserve"> </w:t>
      </w:r>
      <w:r>
        <w:t xml:space="preserve">Aralık’ta </w:t>
      </w:r>
      <w:r w:rsidR="00047A3E">
        <w:t xml:space="preserve">yüzde </w:t>
      </w:r>
      <w:r>
        <w:t>83,8’e</w:t>
      </w:r>
      <w:r w:rsidR="004E2F7D">
        <w:t xml:space="preserve"> </w:t>
      </w:r>
      <w:r w:rsidR="00D502D2">
        <w:t>yükseldi</w:t>
      </w:r>
      <w:r w:rsidR="00F128F8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6B7DDC">
        <w:rPr>
          <w:rFonts w:eastAsia="Times New Roman" w:cs="Times New Roman"/>
          <w:b/>
          <w:bCs/>
          <w:kern w:val="36"/>
          <w:sz w:val="24"/>
          <w:szCs w:val="24"/>
        </w:rPr>
        <w:t>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D56E70">
        <w:rPr>
          <w:rFonts w:eastAsia="Times New Roman" w:cs="Times New Roman"/>
          <w:b/>
          <w:bCs/>
          <w:kern w:val="36"/>
          <w:sz w:val="24"/>
          <w:szCs w:val="24"/>
        </w:rPr>
        <w:t>A</w:t>
      </w:r>
      <w:r w:rsidR="006B7DDC">
        <w:rPr>
          <w:rFonts w:eastAsia="Times New Roman" w:cs="Times New Roman"/>
          <w:b/>
          <w:bCs/>
          <w:kern w:val="36"/>
          <w:sz w:val="24"/>
          <w:szCs w:val="24"/>
        </w:rPr>
        <w:t>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6B7DDC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7DFEC20" wp14:editId="3E211CCE">
            <wp:extent cx="5730875" cy="1722120"/>
            <wp:effectExtent l="0" t="0" r="317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F49DE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714CDE" w:rsidRDefault="006B7DDC" w:rsidP="00DB359A">
      <w:pPr>
        <w:spacing w:after="0" w:line="240" w:lineRule="auto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BF8BCE4" wp14:editId="3A596C41">
            <wp:extent cx="5730949" cy="1711842"/>
            <wp:effectExtent l="0" t="0" r="3175" b="317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Pr="002C7332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E86C2E" w:rsidP="002C7332">
      <w:pPr>
        <w:jc w:val="both"/>
      </w:pPr>
      <w:r w:rsidRPr="00E86C2E">
        <w:t>İhracat rakamları</w:t>
      </w:r>
      <w:r w:rsidR="002C7332">
        <w:t xml:space="preserve"> 2018’in </w:t>
      </w:r>
      <w:r w:rsidR="002F49DE">
        <w:t xml:space="preserve">son ayında </w:t>
      </w:r>
      <w:r w:rsidR="00CA6A1E">
        <w:t>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2F49DE">
        <w:t>10,5 azalış</w:t>
      </w:r>
      <w:r>
        <w:t>; bir önceki yı</w:t>
      </w:r>
      <w:r w:rsidR="00E0516C">
        <w:t xml:space="preserve">lın aynı </w:t>
      </w:r>
      <w:r w:rsidR="002C7332">
        <w:t>dönemine</w:t>
      </w:r>
      <w:r w:rsidR="00E0516C">
        <w:t xml:space="preserve"> göre ise yüzde</w:t>
      </w:r>
      <w:r w:rsidR="00913A90">
        <w:t xml:space="preserve"> </w:t>
      </w:r>
      <w:r w:rsidR="002F49DE">
        <w:t>0,2</w:t>
      </w:r>
      <w:r w:rsidR="00BC0061">
        <w:t xml:space="preserve"> </w:t>
      </w:r>
      <w:r w:rsidR="002F49DE">
        <w:t>artış</w:t>
      </w:r>
      <w:r>
        <w:t xml:space="preserve"> göster</w:t>
      </w:r>
      <w:r w:rsidR="002F49DE">
        <w:t>irken, 13,9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CA6A1E">
        <w:t>2018</w:t>
      </w:r>
      <w:r w:rsidR="00DB359A">
        <w:t xml:space="preserve"> yılına düş</w:t>
      </w:r>
      <w:r>
        <w:t xml:space="preserve">üşle başlayan ithalat rakamları </w:t>
      </w:r>
      <w:r w:rsidR="002F49DE">
        <w:t>2017</w:t>
      </w:r>
      <w:r w:rsidR="00DB359A" w:rsidRPr="009C3D5A">
        <w:t xml:space="preserve"> </w:t>
      </w:r>
      <w:r w:rsidR="002F49DE">
        <w:t>Aralık’ta</w:t>
      </w:r>
      <w:r w:rsidR="000174DC">
        <w:t xml:space="preserve"> </w:t>
      </w:r>
      <w:r w:rsidR="002F49DE">
        <w:t>23,1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yüz</w:t>
      </w:r>
      <w:r w:rsidR="00CA6A1E">
        <w:t xml:space="preserve">de </w:t>
      </w:r>
      <w:r w:rsidR="002F49DE">
        <w:t>28</w:t>
      </w:r>
      <w:r w:rsidR="004B1DC6">
        <w:t>,</w:t>
      </w:r>
      <w:r w:rsidR="002F49DE">
        <w:t>3</w:t>
      </w:r>
      <w:r w:rsidR="004B1DC6">
        <w:t xml:space="preserve"> </w:t>
      </w:r>
      <w:r w:rsidR="00224B15">
        <w:t xml:space="preserve">azalış </w:t>
      </w:r>
      <w:r w:rsidR="00EC602A">
        <w:t>ile</w:t>
      </w:r>
      <w:r w:rsidR="000174DC">
        <w:t xml:space="preserve"> </w:t>
      </w:r>
      <w:r w:rsidR="002F49DE">
        <w:t>2018 Aralık’ta 16,6</w:t>
      </w:r>
      <w:r w:rsidR="00EC602A">
        <w:t xml:space="preserve"> </w:t>
      </w:r>
      <w:r w:rsidR="00DB359A" w:rsidRPr="009C3D5A">
        <w:t>milyar dolar</w:t>
      </w:r>
      <w:r w:rsidR="001F4B97">
        <w:t xml:space="preserve"> olarak gerçekleşti</w:t>
      </w:r>
      <w:r w:rsidR="00CA6A1E">
        <w:t>.</w:t>
      </w:r>
      <w:r w:rsidR="00DB359A" w:rsidRPr="009C3D5A">
        <w:t xml:space="preserve"> </w:t>
      </w:r>
    </w:p>
    <w:p w:rsidR="002F49DE" w:rsidRDefault="002F49DE" w:rsidP="002C7332">
      <w:pPr>
        <w:jc w:val="both"/>
      </w:pPr>
    </w:p>
    <w:p w:rsidR="002F49DE" w:rsidRPr="002C7332" w:rsidRDefault="002F49DE" w:rsidP="002C7332">
      <w:pPr>
        <w:jc w:val="both"/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CA4617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Ülkelere göre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(2018 </w:t>
      </w:r>
      <w:r w:rsidR="002F49DE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063AE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0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0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A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1.205.202.725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 Krallık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893.096.660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740.539.268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711.685.894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698.053.671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588.502.438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547.298.390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413.809.229</w:t>
            </w:r>
          </w:p>
        </w:tc>
      </w:tr>
      <w:tr w:rsidR="002F49DE" w:rsidRPr="00587E0B" w:rsidTr="00204F57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İsrail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364.782.924</w:t>
            </w:r>
          </w:p>
        </w:tc>
      </w:tr>
      <w:tr w:rsidR="002F49DE" w:rsidRPr="00587E0B" w:rsidTr="00204F57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Belçika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348.242.221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063AE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0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0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A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1.785.926.232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1.720.063.963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1.485.016.143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1.292.114.176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996.571.739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782.799.400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535.695.682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469.076.548</w:t>
            </w:r>
          </w:p>
        </w:tc>
      </w:tr>
      <w:tr w:rsidR="002F49DE" w:rsidRPr="00587E0B" w:rsidTr="006319E7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 Krallık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395.929.059</w:t>
            </w:r>
          </w:p>
        </w:tc>
      </w:tr>
      <w:tr w:rsidR="002F49DE" w:rsidRPr="00587E0B" w:rsidTr="006319E7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F49DE" w:rsidRPr="00587E0B" w:rsidRDefault="002F49DE" w:rsidP="002F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2F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DE" w:rsidRDefault="002F49DE" w:rsidP="00CA46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381.089.573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Pr="00AB4023" w:rsidRDefault="008D17ED" w:rsidP="00AB4023">
      <w:pPr>
        <w:jc w:val="both"/>
      </w:pPr>
      <w:r>
        <w:t xml:space="preserve">Türkiye, </w:t>
      </w:r>
      <w:r w:rsidR="00CC376F" w:rsidRPr="009C3D5A">
        <w:t>201</w:t>
      </w:r>
      <w:r w:rsidR="00CA6A1E">
        <w:t>8</w:t>
      </w:r>
      <w:r w:rsidR="00CC376F" w:rsidRPr="009C3D5A">
        <w:t xml:space="preserve"> </w:t>
      </w:r>
      <w:r w:rsidR="002F49DE">
        <w:t>Aralık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2F49DE">
        <w:t>,21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2F49DE">
        <w:t>893</w:t>
      </w:r>
      <w:r w:rsidR="00224B15">
        <w:t xml:space="preserve"> milyon </w:t>
      </w:r>
      <w:r w:rsidR="006E7CD2" w:rsidRPr="009C3D5A">
        <w:t>dolar ile</w:t>
      </w:r>
      <w:r w:rsidR="006006DA">
        <w:t xml:space="preserve"> </w:t>
      </w:r>
      <w:r w:rsidR="009063AE">
        <w:t>B. Krallık</w:t>
      </w:r>
      <w:r w:rsidR="00955246" w:rsidRPr="009C3D5A">
        <w:t xml:space="preserve">, </w:t>
      </w:r>
      <w:r w:rsidR="002F49DE">
        <w:t>740,5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2F49DE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2F49DE">
        <w:t>711,7</w:t>
      </w:r>
      <w:r w:rsidR="009063AE">
        <w:t xml:space="preserve"> m</w:t>
      </w:r>
      <w:r w:rsidR="00501781">
        <w:t>ilyon</w:t>
      </w:r>
      <w:r w:rsidR="006E7CD2" w:rsidRPr="009C3D5A">
        <w:t xml:space="preserve"> dolar ile</w:t>
      </w:r>
      <w:r w:rsidR="009E6845">
        <w:t xml:space="preserve"> </w:t>
      </w:r>
      <w:r w:rsidR="002F49DE">
        <w:t>Irak</w:t>
      </w:r>
      <w:r w:rsidR="00D75D2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224B15">
        <w:t>Rusya</w:t>
      </w:r>
      <w:r w:rsidR="00164C73">
        <w:t>,</w:t>
      </w:r>
      <w:r w:rsidR="006006DA">
        <w:t xml:space="preserve"> lider konumdadır.</w:t>
      </w:r>
      <w:r w:rsidR="00CA6A1E">
        <w:t xml:space="preserve"> Türkiye’nin 2018</w:t>
      </w:r>
      <w:r w:rsidR="006D5432" w:rsidRPr="009C3D5A">
        <w:t xml:space="preserve"> </w:t>
      </w:r>
      <w:r w:rsidR="002F49DE">
        <w:t>Aralık</w:t>
      </w:r>
      <w:r w:rsidR="009063AE">
        <w:t xml:space="preserve"> </w:t>
      </w:r>
      <w:r w:rsidR="00587E0B">
        <w:t xml:space="preserve">ayında </w:t>
      </w:r>
      <w:r w:rsidR="00224B15">
        <w:t>Rusya’dan</w:t>
      </w:r>
      <w:r w:rsidR="00011E51">
        <w:t xml:space="preserve"> </w:t>
      </w:r>
      <w:r w:rsidR="00955246" w:rsidRPr="009C3D5A">
        <w:t xml:space="preserve">yaptığı ithalat </w:t>
      </w:r>
      <w:r w:rsidR="002F49DE">
        <w:t>1,79</w:t>
      </w:r>
      <w:r w:rsidR="00955246" w:rsidRPr="009C3D5A">
        <w:t xml:space="preserve"> milyar dolar olup </w:t>
      </w:r>
      <w:r w:rsidR="00224B15">
        <w:t>Rusya’yı</w:t>
      </w:r>
      <w:r w:rsidR="00955246" w:rsidRPr="009C3D5A">
        <w:t xml:space="preserve"> sırası ile </w:t>
      </w:r>
      <w:r w:rsidR="009063AE">
        <w:t>1</w:t>
      </w:r>
      <w:r w:rsidR="006D5432" w:rsidRPr="009C3D5A">
        <w:t>,</w:t>
      </w:r>
      <w:r w:rsidR="002F49DE">
        <w:t>72</w:t>
      </w:r>
      <w:r w:rsidR="007969C3">
        <w:t xml:space="preserve"> </w:t>
      </w:r>
      <w:r w:rsidR="003D0EA9" w:rsidRPr="009C3D5A">
        <w:t xml:space="preserve">milyar dolar ile </w:t>
      </w:r>
      <w:r w:rsidR="002F49DE">
        <w:t>Almanya</w:t>
      </w:r>
      <w:r w:rsidR="00955246" w:rsidRPr="009C3D5A">
        <w:t xml:space="preserve">, </w:t>
      </w:r>
      <w:r w:rsidR="002F49DE">
        <w:t>1,49</w:t>
      </w:r>
      <w:r w:rsidR="003D0EA9" w:rsidRPr="009C3D5A">
        <w:t xml:space="preserve"> milyar dolar ile </w:t>
      </w:r>
      <w:r w:rsidR="002F49DE">
        <w:t>gizli ülke verileri</w:t>
      </w:r>
      <w:r w:rsidR="009063AE">
        <w:t xml:space="preserve"> </w:t>
      </w:r>
      <w:r w:rsidR="00E50701">
        <w:t xml:space="preserve">ve </w:t>
      </w:r>
      <w:r w:rsidR="002F49DE">
        <w:t>1,29 milyar</w:t>
      </w:r>
      <w:r w:rsidR="003D0EA9" w:rsidRPr="009C3D5A">
        <w:t xml:space="preserve"> dolar ile </w:t>
      </w:r>
      <w:r w:rsidR="002F49DE">
        <w:t>Çin</w:t>
      </w:r>
      <w:r w:rsidR="00F53242">
        <w:t xml:space="preserve">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F49DE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51"/>
        <w:gridCol w:w="7051"/>
        <w:gridCol w:w="1671"/>
      </w:tblGrid>
      <w:tr w:rsidR="002109CE" w:rsidRPr="00E57C88" w:rsidTr="00B34F00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İ</w:t>
            </w: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</w:t>
            </w:r>
            <w:r w:rsidR="00800962">
              <w:rPr>
                <w:rFonts w:ascii="Calibri" w:eastAsia="Times New Roman" w:hAnsi="Calibri" w:cs="Calibri"/>
                <w:b/>
                <w:bCs/>
                <w:color w:val="FFFFFF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cat</w:t>
            </w: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Dolar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2.058.776.341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1.263.516.970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1.152.992.612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Teksitil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919.811.439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makinaları,cihazları ve aletleri, vb.aksam,parçaları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813.491.248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712.102.293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Başka yerde belirtilmeyen çeşitli mamül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664.950.917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Demir, çelik, bakır, nikel, aluminyum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539.184.294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426.817.470 </w:t>
            </w:r>
          </w:p>
        </w:tc>
      </w:tr>
      <w:tr w:rsidR="00CA4617" w:rsidRPr="00E57C88" w:rsidTr="00CE67DB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403.714.971 </w:t>
            </w:r>
          </w:p>
        </w:tc>
      </w:tr>
    </w:tbl>
    <w:p w:rsidR="002109CE" w:rsidRDefault="002109CE" w:rsidP="00314CD6">
      <w:pPr>
        <w:spacing w:after="0" w:line="240" w:lineRule="auto"/>
      </w:pPr>
    </w:p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51"/>
        <w:gridCol w:w="7051"/>
        <w:gridCol w:w="1671"/>
      </w:tblGrid>
      <w:tr w:rsidR="00E57C88" w:rsidRPr="00E57C88" w:rsidTr="00B34F00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B34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2.570.852.286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1.132.929.709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810.418.102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677.912.509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674.156.734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makinaları,cihazları ve aletleri, vb.aksam,parçaları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663.630.267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Güç üreten makineler ve araçlar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656.012.419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648.010.769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627.471.229 </w:t>
            </w:r>
          </w:p>
        </w:tc>
      </w:tr>
      <w:tr w:rsidR="00CA4617" w:rsidRPr="00E57C88" w:rsidTr="009B073C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CA4617" w:rsidRPr="00E57C88" w:rsidRDefault="00CA4617" w:rsidP="00CA4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Altın,parasal olmayan (altın madeni ve konsantreleri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17" w:rsidRDefault="00CA4617" w:rsidP="00CA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542.947.709 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Pr="00AB4023" w:rsidRDefault="00C56530" w:rsidP="005123EB">
      <w:pPr>
        <w:jc w:val="both"/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DA63E7">
        <w:t>8</w:t>
      </w:r>
      <w:r w:rsidR="00D074EA" w:rsidRPr="009C3D5A">
        <w:t xml:space="preserve"> </w:t>
      </w:r>
      <w:r w:rsidR="00CA4617">
        <w:t>Aralık</w:t>
      </w:r>
      <w:r w:rsidR="005123EB">
        <w:t xml:space="preserve"> </w:t>
      </w:r>
      <w:r w:rsidR="00801235">
        <w:t xml:space="preserve">ayında </w:t>
      </w:r>
      <w:r w:rsidR="00244AE5">
        <w:t>2,1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B34F00">
        <w:t>2</w:t>
      </w:r>
      <w:r w:rsidR="00244AE5">
        <w:t>6</w:t>
      </w:r>
      <w:r w:rsidR="00D074EA" w:rsidRPr="009C3D5A">
        <w:t xml:space="preserve"> milyar dolar ile </w:t>
      </w:r>
      <w:r w:rsidR="00244AE5">
        <w:t>demir ve çelik ihracatı ve 1</w:t>
      </w:r>
      <w:r w:rsidR="00224B15">
        <w:t>,</w:t>
      </w:r>
      <w:r w:rsidR="00244AE5">
        <w:t>15 milyar</w:t>
      </w:r>
      <w:r w:rsidR="00164C73">
        <w:t xml:space="preserve"> dolar</w:t>
      </w:r>
      <w:r w:rsidR="00B34F00">
        <w:t xml:space="preserve"> </w:t>
      </w:r>
      <w:r w:rsidR="00244AE5">
        <w:t xml:space="preserve">ile </w:t>
      </w:r>
      <w:r w:rsidR="00244AE5">
        <w:t>g</w:t>
      </w:r>
      <w:r w:rsidR="00244AE5" w:rsidRPr="009E6645">
        <w:t xml:space="preserve">iyim eşyası ve bunların aksesuarları </w:t>
      </w:r>
      <w:r w:rsidR="00244AE5" w:rsidRPr="009C3D5A">
        <w:t>ihracatı</w:t>
      </w:r>
      <w:r w:rsidR="00244AE5">
        <w:t xml:space="preserve"> </w:t>
      </w:r>
      <w:r w:rsidR="00D074EA" w:rsidRPr="009C3D5A">
        <w:t xml:space="preserve">takip etmektedir. İthalatta ise </w:t>
      </w:r>
      <w:r w:rsidR="00224B15">
        <w:t xml:space="preserve">ilk sırayı </w:t>
      </w:r>
      <w:r w:rsidR="00710149">
        <w:t xml:space="preserve">2,57 </w:t>
      </w:r>
      <w:r w:rsidR="005123EB">
        <w:t>milyar dolar</w:t>
      </w:r>
      <w:r w:rsidR="00710149">
        <w:t>la gizli veri alırken</w:t>
      </w:r>
      <w:r w:rsidR="005123EB">
        <w:t xml:space="preserve">, </w:t>
      </w:r>
      <w:r w:rsidR="00224B15">
        <w:t xml:space="preserve">onu </w:t>
      </w:r>
      <w:r w:rsidR="00710149">
        <w:t xml:space="preserve">1,13 milyar dolar ithalat ile </w:t>
      </w:r>
      <w:r w:rsidR="00710149">
        <w:t>m</w:t>
      </w:r>
      <w:r w:rsidR="00710149" w:rsidRPr="009E6645">
        <w:t>oto</w:t>
      </w:r>
      <w:r w:rsidR="00710149">
        <w:t>rlu kara taşıtları, bisiklet ve</w:t>
      </w:r>
      <w:r w:rsidR="00710149" w:rsidRPr="009E6645">
        <w:t xml:space="preserve"> motosikletler, bunların aksam ve parçası</w:t>
      </w:r>
      <w:r w:rsidR="00710149">
        <w:t xml:space="preserve">, </w:t>
      </w:r>
      <w:r w:rsidR="00CE1E16">
        <w:t>810,4</w:t>
      </w:r>
      <w:r w:rsidR="00224B15">
        <w:t xml:space="preserve"> milyon dolar </w:t>
      </w:r>
      <w:r w:rsidR="00801235">
        <w:t xml:space="preserve">ile </w:t>
      </w:r>
      <w:r w:rsidR="00CE1E16">
        <w:t>petrol, petrolden elde edilen ürünler ve 677,9</w:t>
      </w:r>
      <w:r w:rsidR="00224B15">
        <w:t xml:space="preserve"> milyon dolarlık ithalatı ile </w:t>
      </w:r>
      <w:r w:rsidR="00CE1E16">
        <w:t xml:space="preserve">diğer genel endüstri makine/cihazların aksamları ithalatı </w:t>
      </w:r>
      <w:r w:rsidR="005123EB" w:rsidRPr="00AB4023">
        <w:t>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CE1E16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 imalat 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CE1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4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36,4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CE1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</w:t>
            </w:r>
            <w:r w:rsidR="0084477D">
              <w:rPr>
                <w:rFonts w:ascii="Calibri" w:eastAsia="Times New Roman" w:hAnsi="Calibri" w:cs="Calibri"/>
                <w:color w:val="000000"/>
                <w:lang w:val="en-US" w:eastAsia="en-US"/>
              </w:rPr>
              <w:t>,8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CE1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C63AFC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63AFC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1,5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 imalat 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CE1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4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16,5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B34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44,3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4477D" w:rsidP="0084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CE1E16">
              <w:rPr>
                <w:rFonts w:ascii="Calibri" w:eastAsia="Times New Roman" w:hAnsi="Calibri" w:cs="Calibri"/>
                <w:color w:val="000000"/>
                <w:lang w:val="en-US" w:eastAsia="en-US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28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B34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CE1E1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</w:t>
            </w:r>
            <w:r w:rsidR="0084477D">
              <w:rPr>
                <w:rFonts w:ascii="Calibri" w:eastAsia="Times New Roman" w:hAnsi="Calibri" w:cs="Calibri"/>
                <w:color w:val="000000"/>
                <w:lang w:val="en-US" w:eastAsia="en-US"/>
              </w:rPr>
              <w:t>,1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lastRenderedPageBreak/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0048F7">
        <w:t xml:space="preserve"> 2018</w:t>
      </w:r>
      <w:r w:rsidRPr="009C3D5A">
        <w:t xml:space="preserve"> </w:t>
      </w:r>
      <w:r w:rsidR="00CE1E16">
        <w:t>Aralık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DB447D">
        <w:t>4,3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DB447D">
        <w:t>6,4</w:t>
      </w:r>
      <w:r w:rsidR="00DC3282">
        <w:t>’</w:t>
      </w:r>
      <w:r w:rsidR="00DB447D">
        <w:t>tü</w:t>
      </w:r>
      <w:r w:rsidR="000048F7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DB447D">
        <w:t>6,5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DB447D">
        <w:t>li ürünlerin payı ise yüzde 44</w:t>
      </w:r>
      <w:r w:rsidR="00AB4023">
        <w:t>,</w:t>
      </w:r>
      <w:r w:rsidR="00DB447D">
        <w:t>3</w:t>
      </w:r>
      <w:r w:rsidR="005C1EC6">
        <w:t>’</w:t>
      </w:r>
      <w:r w:rsidR="00DB447D">
        <w:t>tür.</w:t>
      </w:r>
      <w:bookmarkStart w:id="0" w:name="_GoBack"/>
      <w:bookmarkEnd w:id="0"/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8C" w:rsidRDefault="00F9298C" w:rsidP="00F43AC2">
      <w:pPr>
        <w:spacing w:after="0" w:line="240" w:lineRule="auto"/>
      </w:pPr>
      <w:r>
        <w:separator/>
      </w:r>
    </w:p>
  </w:endnote>
  <w:endnote w:type="continuationSeparator" w:id="0">
    <w:p w:rsidR="00F9298C" w:rsidRDefault="00F9298C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8C" w:rsidRDefault="00F9298C" w:rsidP="00F43AC2">
      <w:pPr>
        <w:spacing w:after="0" w:line="240" w:lineRule="auto"/>
      </w:pPr>
      <w:r>
        <w:separator/>
      </w:r>
    </w:p>
  </w:footnote>
  <w:footnote w:type="continuationSeparator" w:id="0">
    <w:p w:rsidR="00F9298C" w:rsidRDefault="00F9298C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1E51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D4F9D"/>
    <w:rsid w:val="000E09A3"/>
    <w:rsid w:val="000E65E3"/>
    <w:rsid w:val="00104735"/>
    <w:rsid w:val="00106499"/>
    <w:rsid w:val="00117F24"/>
    <w:rsid w:val="00134344"/>
    <w:rsid w:val="001603F9"/>
    <w:rsid w:val="00162B88"/>
    <w:rsid w:val="00164C73"/>
    <w:rsid w:val="0019086A"/>
    <w:rsid w:val="00197079"/>
    <w:rsid w:val="001973F4"/>
    <w:rsid w:val="001A3903"/>
    <w:rsid w:val="001F4B97"/>
    <w:rsid w:val="001F5C25"/>
    <w:rsid w:val="00207511"/>
    <w:rsid w:val="00207D30"/>
    <w:rsid w:val="002109CE"/>
    <w:rsid w:val="002117E9"/>
    <w:rsid w:val="002157EE"/>
    <w:rsid w:val="00224B15"/>
    <w:rsid w:val="002349EC"/>
    <w:rsid w:val="0023568E"/>
    <w:rsid w:val="00240215"/>
    <w:rsid w:val="00244AE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C7332"/>
    <w:rsid w:val="002E5CA2"/>
    <w:rsid w:val="002E6E48"/>
    <w:rsid w:val="002F49DE"/>
    <w:rsid w:val="002F5643"/>
    <w:rsid w:val="00314005"/>
    <w:rsid w:val="00314CD6"/>
    <w:rsid w:val="003367F9"/>
    <w:rsid w:val="00392ED5"/>
    <w:rsid w:val="003944A2"/>
    <w:rsid w:val="003D0EA9"/>
    <w:rsid w:val="003E0DAF"/>
    <w:rsid w:val="003F4F3D"/>
    <w:rsid w:val="00411539"/>
    <w:rsid w:val="00412B6A"/>
    <w:rsid w:val="00421039"/>
    <w:rsid w:val="004602F8"/>
    <w:rsid w:val="00472AF7"/>
    <w:rsid w:val="0048257F"/>
    <w:rsid w:val="004A38E7"/>
    <w:rsid w:val="004A5050"/>
    <w:rsid w:val="004B1DC6"/>
    <w:rsid w:val="004C5FAB"/>
    <w:rsid w:val="004D49AB"/>
    <w:rsid w:val="004E0C1E"/>
    <w:rsid w:val="004E2F7D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C2EA6"/>
    <w:rsid w:val="005C5B92"/>
    <w:rsid w:val="005D6CB6"/>
    <w:rsid w:val="005E55BC"/>
    <w:rsid w:val="006006DA"/>
    <w:rsid w:val="0060716F"/>
    <w:rsid w:val="006306C8"/>
    <w:rsid w:val="00634A65"/>
    <w:rsid w:val="00635D39"/>
    <w:rsid w:val="006538E8"/>
    <w:rsid w:val="006634A0"/>
    <w:rsid w:val="00672626"/>
    <w:rsid w:val="00676E49"/>
    <w:rsid w:val="006864AB"/>
    <w:rsid w:val="006A09A3"/>
    <w:rsid w:val="006B7DDC"/>
    <w:rsid w:val="006C1C96"/>
    <w:rsid w:val="006D5432"/>
    <w:rsid w:val="006D5B37"/>
    <w:rsid w:val="006E3C93"/>
    <w:rsid w:val="006E7CD2"/>
    <w:rsid w:val="006F66DA"/>
    <w:rsid w:val="00710149"/>
    <w:rsid w:val="00713D96"/>
    <w:rsid w:val="00714CDE"/>
    <w:rsid w:val="00735D9A"/>
    <w:rsid w:val="00764636"/>
    <w:rsid w:val="00790C7B"/>
    <w:rsid w:val="007940E3"/>
    <w:rsid w:val="007969C3"/>
    <w:rsid w:val="007A222E"/>
    <w:rsid w:val="007C155D"/>
    <w:rsid w:val="007C407A"/>
    <w:rsid w:val="007C538F"/>
    <w:rsid w:val="007D10EA"/>
    <w:rsid w:val="007F367A"/>
    <w:rsid w:val="007F50E4"/>
    <w:rsid w:val="00800962"/>
    <w:rsid w:val="00801235"/>
    <w:rsid w:val="008029BF"/>
    <w:rsid w:val="00820484"/>
    <w:rsid w:val="008269F5"/>
    <w:rsid w:val="00831B3B"/>
    <w:rsid w:val="008378AE"/>
    <w:rsid w:val="0084477D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F7528"/>
    <w:rsid w:val="009063AE"/>
    <w:rsid w:val="00913A90"/>
    <w:rsid w:val="009435E7"/>
    <w:rsid w:val="0094521C"/>
    <w:rsid w:val="0095258A"/>
    <w:rsid w:val="00955246"/>
    <w:rsid w:val="0097055D"/>
    <w:rsid w:val="0097436F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B4023"/>
    <w:rsid w:val="00AC61F4"/>
    <w:rsid w:val="00AD00C3"/>
    <w:rsid w:val="00AF5794"/>
    <w:rsid w:val="00B01160"/>
    <w:rsid w:val="00B116E5"/>
    <w:rsid w:val="00B1525D"/>
    <w:rsid w:val="00B27572"/>
    <w:rsid w:val="00B32BBF"/>
    <w:rsid w:val="00B34F00"/>
    <w:rsid w:val="00B355A8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3AFC"/>
    <w:rsid w:val="00C6508C"/>
    <w:rsid w:val="00C7379E"/>
    <w:rsid w:val="00C77119"/>
    <w:rsid w:val="00C87296"/>
    <w:rsid w:val="00CA31BE"/>
    <w:rsid w:val="00CA4617"/>
    <w:rsid w:val="00CA6A1E"/>
    <w:rsid w:val="00CB030C"/>
    <w:rsid w:val="00CB0A4D"/>
    <w:rsid w:val="00CC376F"/>
    <w:rsid w:val="00CD4865"/>
    <w:rsid w:val="00CE1E16"/>
    <w:rsid w:val="00CE7503"/>
    <w:rsid w:val="00CF203E"/>
    <w:rsid w:val="00CF2B5C"/>
    <w:rsid w:val="00D074EA"/>
    <w:rsid w:val="00D07D01"/>
    <w:rsid w:val="00D308FB"/>
    <w:rsid w:val="00D337A5"/>
    <w:rsid w:val="00D471EB"/>
    <w:rsid w:val="00D502D2"/>
    <w:rsid w:val="00D5436F"/>
    <w:rsid w:val="00D56E70"/>
    <w:rsid w:val="00D57F21"/>
    <w:rsid w:val="00D61B49"/>
    <w:rsid w:val="00D74065"/>
    <w:rsid w:val="00D75D22"/>
    <w:rsid w:val="00D80CC9"/>
    <w:rsid w:val="00D864BD"/>
    <w:rsid w:val="00D8702A"/>
    <w:rsid w:val="00DA63E7"/>
    <w:rsid w:val="00DA7CF5"/>
    <w:rsid w:val="00DB20D7"/>
    <w:rsid w:val="00DB359A"/>
    <w:rsid w:val="00DB447D"/>
    <w:rsid w:val="00DC15D2"/>
    <w:rsid w:val="00DC3282"/>
    <w:rsid w:val="00DC5CA2"/>
    <w:rsid w:val="00DD6AA5"/>
    <w:rsid w:val="00DF2872"/>
    <w:rsid w:val="00E0516C"/>
    <w:rsid w:val="00E07918"/>
    <w:rsid w:val="00E20164"/>
    <w:rsid w:val="00E2368A"/>
    <w:rsid w:val="00E27E57"/>
    <w:rsid w:val="00E34DEB"/>
    <w:rsid w:val="00E50701"/>
    <w:rsid w:val="00E542E3"/>
    <w:rsid w:val="00E551E6"/>
    <w:rsid w:val="00E57C88"/>
    <w:rsid w:val="00E64BCC"/>
    <w:rsid w:val="00E83CB2"/>
    <w:rsid w:val="00E86C2E"/>
    <w:rsid w:val="00E92FFF"/>
    <w:rsid w:val="00EB3D95"/>
    <w:rsid w:val="00EB5E5C"/>
    <w:rsid w:val="00EC602A"/>
    <w:rsid w:val="00F11B62"/>
    <w:rsid w:val="00F128F8"/>
    <w:rsid w:val="00F138EA"/>
    <w:rsid w:val="00F306F9"/>
    <w:rsid w:val="00F3379C"/>
    <w:rsid w:val="00F43AC2"/>
    <w:rsid w:val="00F44718"/>
    <w:rsid w:val="00F53242"/>
    <w:rsid w:val="00F727B6"/>
    <w:rsid w:val="00F72F39"/>
    <w:rsid w:val="00F9298C"/>
    <w:rsid w:val="00F92ED4"/>
    <w:rsid w:val="00FA365B"/>
    <w:rsid w:val="00FB066D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3497"/>
  <w15:docId w15:val="{C606B8A8-FA53-4005-BF70-A4AAB38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219\Aral&#305;k_dt%20-%20Kopy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219\Aral&#305;k_dt%20-%20Kopy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Sayfa1!$L$7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Sayfa1!$K$8:$K$19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Sayfa1!$L$8:$L$19</c:f>
              <c:numCache>
                <c:formatCode>0.0</c:formatCode>
                <c:ptCount val="12"/>
                <c:pt idx="0">
                  <c:v>11.247585677</c:v>
                </c:pt>
                <c:pt idx="1">
                  <c:v>12.089908934</c:v>
                </c:pt>
                <c:pt idx="2">
                  <c:v>14.470814059</c:v>
                </c:pt>
                <c:pt idx="3">
                  <c:v>12.859938790999999</c:v>
                </c:pt>
                <c:pt idx="4">
                  <c:v>13.582079731</c:v>
                </c:pt>
                <c:pt idx="5">
                  <c:v>13.125306944</c:v>
                </c:pt>
                <c:pt idx="6">
                  <c:v>12.612074055999999</c:v>
                </c:pt>
                <c:pt idx="7">
                  <c:v>13.24846299</c:v>
                </c:pt>
                <c:pt idx="8">
                  <c:v>11.810080805</c:v>
                </c:pt>
                <c:pt idx="9">
                  <c:v>13.912699494000002</c:v>
                </c:pt>
                <c:pt idx="10">
                  <c:v>14.188323116000001</c:v>
                </c:pt>
                <c:pt idx="11">
                  <c:v>13.845665817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B-418E-9A23-C1FB281846E4}"/>
            </c:ext>
          </c:extLst>
        </c:ser>
        <c:ser>
          <c:idx val="1"/>
          <c:order val="1"/>
          <c:tx>
            <c:strRef>
              <c:f>Sayfa1!$M$7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Sayfa1!$K$8:$K$19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Sayfa1!$M$8:$M$19</c:f>
              <c:numCache>
                <c:formatCode>0.0</c:formatCode>
                <c:ptCount val="12"/>
                <c:pt idx="0">
                  <c:v>12.434230273000001</c:v>
                </c:pt>
                <c:pt idx="1">
                  <c:v>13.148439339999999</c:v>
                </c:pt>
                <c:pt idx="2">
                  <c:v>15.553941373999999</c:v>
                </c:pt>
                <c:pt idx="3">
                  <c:v>13.847243307999999</c:v>
                </c:pt>
                <c:pt idx="4">
                  <c:v>14.257774313999999</c:v>
                </c:pt>
                <c:pt idx="5">
                  <c:v>12.925548424</c:v>
                </c:pt>
                <c:pt idx="6">
                  <c:v>14.049654905999999</c:v>
                </c:pt>
                <c:pt idx="7">
                  <c:v>12.336936276000001</c:v>
                </c:pt>
                <c:pt idx="8">
                  <c:v>14.401013149000001</c:v>
                </c:pt>
                <c:pt idx="9">
                  <c:v>15.684379328</c:v>
                </c:pt>
                <c:pt idx="10">
                  <c:v>15.505674312999998</c:v>
                </c:pt>
                <c:pt idx="11">
                  <c:v>13.878555678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9B-418E-9A23-C1FB281846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6536576"/>
        <c:axId val="216538112"/>
      </c:barChart>
      <c:catAx>
        <c:axId val="216536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538112"/>
        <c:crosses val="autoZero"/>
        <c:auto val="1"/>
        <c:lblAlgn val="ctr"/>
        <c:lblOffset val="100"/>
        <c:noMultiLvlLbl val="0"/>
      </c:catAx>
      <c:valAx>
        <c:axId val="2165381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16536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Sayfa1!$L$22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Sayfa1!$K$23:$K$34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Sayfa1!$L$23:$L$34</c:f>
              <c:numCache>
                <c:formatCode>0.0</c:formatCode>
                <c:ptCount val="12"/>
                <c:pt idx="0">
                  <c:v>15.591508882999999</c:v>
                </c:pt>
                <c:pt idx="1">
                  <c:v>15.825998294</c:v>
                </c:pt>
                <c:pt idx="2">
                  <c:v>19.017539458999998</c:v>
                </c:pt>
                <c:pt idx="3">
                  <c:v>17.787682717999999</c:v>
                </c:pt>
                <c:pt idx="4">
                  <c:v>20.923446227000003</c:v>
                </c:pt>
                <c:pt idx="5">
                  <c:v>19.173756269000002</c:v>
                </c:pt>
                <c:pt idx="6">
                  <c:v>21.490791008999999</c:v>
                </c:pt>
                <c:pt idx="7">
                  <c:v>19.161714598</c:v>
                </c:pt>
                <c:pt idx="8">
                  <c:v>19.978413420999999</c:v>
                </c:pt>
                <c:pt idx="9">
                  <c:v>21.21724098</c:v>
                </c:pt>
                <c:pt idx="10">
                  <c:v>20.546983405000002</c:v>
                </c:pt>
                <c:pt idx="11">
                  <c:v>23.084575971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3C-4E18-AC9A-E124E142ED0B}"/>
            </c:ext>
          </c:extLst>
        </c:ser>
        <c:ser>
          <c:idx val="1"/>
          <c:order val="1"/>
          <c:tx>
            <c:strRef>
              <c:f>Sayfa1!$M$22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Sayfa1!$K$23:$K$34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Sayfa1!$M$23:$M$34</c:f>
              <c:numCache>
                <c:formatCode>0.0</c:formatCode>
                <c:ptCount val="12"/>
                <c:pt idx="0">
                  <c:v>21.522812751</c:v>
                </c:pt>
                <c:pt idx="1">
                  <c:v>18.936997763000001</c:v>
                </c:pt>
                <c:pt idx="2">
                  <c:v>21.434929306000001</c:v>
                </c:pt>
                <c:pt idx="3">
                  <c:v>20.556713054000003</c:v>
                </c:pt>
                <c:pt idx="4">
                  <c:v>22.063962271000001</c:v>
                </c:pt>
                <c:pt idx="5">
                  <c:v>18.448879782999999</c:v>
                </c:pt>
                <c:pt idx="6">
                  <c:v>20.057748625999999</c:v>
                </c:pt>
                <c:pt idx="7">
                  <c:v>14.803690962999999</c:v>
                </c:pt>
                <c:pt idx="8">
                  <c:v>16.324812628</c:v>
                </c:pt>
                <c:pt idx="9">
                  <c:v>16.174464573999998</c:v>
                </c:pt>
                <c:pt idx="10">
                  <c:v>16.161059943000001</c:v>
                </c:pt>
                <c:pt idx="11">
                  <c:v>16.552966389000002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3C-4E18-AC9A-E124E142ED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6593152"/>
        <c:axId val="216594688"/>
      </c:barChart>
      <c:catAx>
        <c:axId val="216593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594688"/>
        <c:crosses val="autoZero"/>
        <c:auto val="1"/>
        <c:lblAlgn val="ctr"/>
        <c:lblOffset val="100"/>
        <c:noMultiLvlLbl val="0"/>
      </c:catAx>
      <c:valAx>
        <c:axId val="2165946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16593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E5DE3-9735-4E98-81B5-DF43888C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AsusZ143</cp:lastModifiedBy>
  <cp:revision>97</cp:revision>
  <dcterms:created xsi:type="dcterms:W3CDTF">2017-12-01T06:18:00Z</dcterms:created>
  <dcterms:modified xsi:type="dcterms:W3CDTF">2019-02-25T13:27:00Z</dcterms:modified>
</cp:coreProperties>
</file>